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EF1FFF" w:rsidRPr="00EF1FFF" w:rsidTr="00EF1FFF">
        <w:trPr>
          <w:tblCellSpacing w:w="15" w:type="dxa"/>
        </w:trPr>
        <w:tc>
          <w:tcPr>
            <w:tcW w:w="0" w:type="auto"/>
            <w:hideMark/>
          </w:tcPr>
          <w:p w:rsidR="00EF1FFF" w:rsidRPr="00EF1FFF" w:rsidRDefault="00EF1FFF" w:rsidP="00EF1FFF">
            <w:pPr>
              <w:rPr>
                <w:rFonts w:ascii="Verdana" w:eastAsia="Times New Roman" w:hAnsi="Verdana" w:cs="Times New Roman"/>
                <w:color w:val="000000"/>
                <w:sz w:val="17"/>
                <w:szCs w:val="17"/>
                <w:lang w:eastAsia="nl-BE"/>
              </w:rPr>
            </w:pPr>
          </w:p>
        </w:tc>
      </w:tr>
    </w:tbl>
    <w:p w:rsidR="00EF1FFF" w:rsidRPr="00EF1FFF" w:rsidRDefault="00EF1FFF" w:rsidP="00EF1FFF">
      <w:pPr>
        <w:rPr>
          <w:rFonts w:ascii="Verdana" w:eastAsia="Times New Roman" w:hAnsi="Verdana" w:cs="Times New Roman"/>
          <w:color w:val="000000"/>
          <w:sz w:val="18"/>
          <w:szCs w:val="18"/>
          <w:lang w:eastAsia="nl-BE"/>
        </w:rPr>
      </w:pPr>
      <w:r w:rsidRPr="00EF1FFF">
        <w:rPr>
          <w:rFonts w:ascii="Verdana" w:eastAsia="Times New Roman" w:hAnsi="Verdana" w:cs="Times New Roman"/>
          <w:color w:val="000000"/>
          <w:sz w:val="18"/>
          <w:szCs w:val="18"/>
          <w:lang w:eastAsia="nl-BE"/>
        </w:rPr>
        <w:pict>
          <v:rect id="_x0000_i1025"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EF1FFF" w:rsidRPr="00EF1FFF" w:rsidTr="00EF1FFF">
        <w:trPr>
          <w:tblCellSpacing w:w="15" w:type="dxa"/>
        </w:trPr>
        <w:tc>
          <w:tcPr>
            <w:tcW w:w="0" w:type="auto"/>
            <w:hideMark/>
          </w:tcPr>
          <w:p w:rsidR="00EF1FFF" w:rsidRPr="00EF1FFF" w:rsidRDefault="00EF1FFF" w:rsidP="00EF1FFF">
            <w:pPr>
              <w:spacing w:before="495" w:after="100" w:afterAutospacing="1" w:line="264" w:lineRule="auto"/>
              <w:outlineLvl w:val="1"/>
              <w:rPr>
                <w:rFonts w:ascii="Verdana" w:eastAsia="Times New Roman" w:hAnsi="Verdana" w:cs="Times New Roman"/>
                <w:b/>
                <w:bCs/>
                <w:color w:val="333333"/>
                <w:sz w:val="30"/>
                <w:szCs w:val="30"/>
                <w:lang w:eastAsia="nl-BE"/>
              </w:rPr>
            </w:pPr>
            <w:r w:rsidRPr="00EF1FFF">
              <w:rPr>
                <w:rFonts w:ascii="Verdana" w:eastAsia="Times New Roman" w:hAnsi="Verdana" w:cs="Times New Roman"/>
                <w:b/>
                <w:bCs/>
                <w:color w:val="333333"/>
                <w:sz w:val="30"/>
                <w:szCs w:val="30"/>
                <w:lang w:eastAsia="nl-BE"/>
              </w:rPr>
              <w:t>Beslissing Btw nr. E.T.130.608 dd. 23.09.2016</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i/>
                <w:iCs/>
                <w:color w:val="333333"/>
                <w:sz w:val="18"/>
                <w:szCs w:val="18"/>
                <w:lang w:eastAsia="nl-BE"/>
              </w:rPr>
              <w:t>Belastingplicht</w:t>
            </w:r>
            <w:r w:rsidRPr="00EF1FFF">
              <w:rPr>
                <w:rFonts w:ascii="Verdana" w:eastAsia="Times New Roman" w:hAnsi="Verdana" w:cs="Times New Roman"/>
                <w:color w:val="333333"/>
                <w:sz w:val="18"/>
                <w:szCs w:val="18"/>
                <w:lang w:eastAsia="nl-BE"/>
              </w:rPr>
              <w:t xml:space="preserve"> </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i/>
                <w:iCs/>
                <w:color w:val="333333"/>
                <w:sz w:val="18"/>
                <w:szCs w:val="18"/>
                <w:lang w:eastAsia="nl-BE"/>
              </w:rPr>
              <w:t>Lokale dienstencentra</w:t>
            </w:r>
            <w:r w:rsidRPr="00EF1FFF">
              <w:rPr>
                <w:rFonts w:ascii="Verdana" w:eastAsia="Times New Roman" w:hAnsi="Verdana" w:cs="Times New Roman"/>
                <w:color w:val="333333"/>
                <w:sz w:val="18"/>
                <w:szCs w:val="18"/>
                <w:lang w:eastAsia="nl-BE"/>
              </w:rPr>
              <w:t xml:space="preserve"> </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i/>
                <w:iCs/>
                <w:color w:val="333333"/>
                <w:sz w:val="18"/>
                <w:szCs w:val="18"/>
                <w:lang w:eastAsia="nl-BE"/>
              </w:rPr>
              <w:t>Vrijstellingen</w:t>
            </w:r>
            <w:r w:rsidRPr="00EF1FFF">
              <w:rPr>
                <w:rFonts w:ascii="Verdana" w:eastAsia="Times New Roman" w:hAnsi="Verdana" w:cs="Times New Roman"/>
                <w:color w:val="333333"/>
                <w:sz w:val="18"/>
                <w:szCs w:val="18"/>
                <w:lang w:eastAsia="nl-BE"/>
              </w:rPr>
              <w:t xml:space="preserve"> </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i/>
                <w:iCs/>
                <w:color w:val="333333"/>
                <w:sz w:val="18"/>
                <w:szCs w:val="18"/>
                <w:lang w:eastAsia="nl-BE"/>
              </w:rPr>
              <w:t>Instellingen van sociale aard</w:t>
            </w:r>
            <w:r w:rsidRPr="00EF1FFF">
              <w:rPr>
                <w:rFonts w:ascii="Verdana" w:eastAsia="Times New Roman" w:hAnsi="Verdana" w:cs="Times New Roman"/>
                <w:color w:val="333333"/>
                <w:sz w:val="18"/>
                <w:szCs w:val="18"/>
                <w:lang w:eastAsia="nl-BE"/>
              </w:rPr>
              <w:t xml:space="preserve"> </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i/>
                <w:iCs/>
                <w:color w:val="333333"/>
                <w:sz w:val="18"/>
                <w:szCs w:val="18"/>
                <w:lang w:eastAsia="nl-BE"/>
              </w:rPr>
              <w:t>Maatschappelijk werk</w:t>
            </w:r>
            <w:r w:rsidRPr="00EF1FFF">
              <w:rPr>
                <w:rFonts w:ascii="Verdana" w:eastAsia="Times New Roman" w:hAnsi="Verdana" w:cs="Times New Roman"/>
                <w:color w:val="333333"/>
                <w:sz w:val="18"/>
                <w:szCs w:val="18"/>
                <w:lang w:eastAsia="nl-BE"/>
              </w:rPr>
              <w:t xml:space="preserve"> </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 </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b/>
                <w:bCs/>
                <w:color w:val="333333"/>
                <w:sz w:val="18"/>
                <w:szCs w:val="18"/>
                <w:lang w:eastAsia="nl-BE"/>
              </w:rPr>
              <w:t>Deze beslissing voorziet in een administratieve tolerantie met betrekking tot de exploitatie van een drank- of eetgelegenheid die voor iedereen toegankelijk is door een lokaal dienstencentrum.</w:t>
            </w:r>
            <w:r w:rsidRPr="00EF1FFF">
              <w:rPr>
                <w:rFonts w:ascii="Verdana" w:eastAsia="Times New Roman" w:hAnsi="Verdana" w:cs="Times New Roman"/>
                <w:color w:val="333333"/>
                <w:sz w:val="18"/>
                <w:szCs w:val="18"/>
                <w:lang w:eastAsia="nl-BE"/>
              </w:rPr>
              <w:t xml:space="preserve"> </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 </w:t>
            </w:r>
          </w:p>
          <w:p w:rsidR="00EF1FFF" w:rsidRPr="00EF1FFF" w:rsidRDefault="00EF1FFF" w:rsidP="00EF1FFF">
            <w:pPr>
              <w:spacing w:before="100" w:beforeAutospacing="1" w:after="100" w:afterAutospacing="1" w:line="264" w:lineRule="auto"/>
              <w:outlineLvl w:val="0"/>
              <w:rPr>
                <w:rFonts w:ascii="Verdana" w:eastAsia="Times New Roman" w:hAnsi="Verdana" w:cs="Times New Roman"/>
                <w:b/>
                <w:bCs/>
                <w:color w:val="333333"/>
                <w:kern w:val="36"/>
                <w:sz w:val="33"/>
                <w:szCs w:val="33"/>
                <w:lang w:eastAsia="nl-BE"/>
              </w:rPr>
            </w:pPr>
            <w:r w:rsidRPr="00EF1FFF">
              <w:rPr>
                <w:rFonts w:ascii="Verdana" w:eastAsia="Times New Roman" w:hAnsi="Verdana" w:cs="Times New Roman"/>
                <w:b/>
                <w:bCs/>
                <w:color w:val="333333"/>
                <w:kern w:val="36"/>
                <w:sz w:val="33"/>
                <w:szCs w:val="33"/>
                <w:lang w:eastAsia="nl-BE"/>
              </w:rPr>
              <w:t>1. INLEIDING</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Lokale dienstencentra hebben voornamelijk als doel ten behoeve van de lokale gemeenschap informatie en advies te verstrekken, vormings- en vrijetijdsactiviteiten te organiseren en zorg op maat aan te bieden in het kader van het sociaal beleid van een gemeente of stad. De activiteiten richten zich in principe tot bijzondere doelgroepen zoals senioren of sociaal zwakkeren.</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Een lokaal dienstencentrum wordt opgericht door een OCMW (gemeente of stad) of kan erkend worden door de lokale overheid.</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 xml:space="preserve">De vraag wordt gesteld onder welke voorwaarden de uitbating van een drank- of eetgelegenheid door een lokaal dienstencentrum wordt beoogd door </w:t>
            </w:r>
            <w:hyperlink r:id="rId4" w:history="1">
              <w:r w:rsidRPr="00EF1FFF">
                <w:rPr>
                  <w:rFonts w:ascii="Verdana" w:eastAsia="Times New Roman" w:hAnsi="Verdana" w:cs="Times New Roman"/>
                  <w:color w:val="0000FF"/>
                  <w:sz w:val="18"/>
                  <w:szCs w:val="18"/>
                  <w:u w:val="single"/>
                  <w:lang w:eastAsia="nl-BE"/>
                </w:rPr>
                <w:t>artikel 44</w:t>
              </w:r>
            </w:hyperlink>
            <w:r w:rsidRPr="00EF1FFF">
              <w:rPr>
                <w:rFonts w:ascii="Verdana" w:eastAsia="Times New Roman" w:hAnsi="Verdana" w:cs="Times New Roman"/>
                <w:color w:val="333333"/>
                <w:sz w:val="18"/>
                <w:szCs w:val="18"/>
                <w:lang w:eastAsia="nl-BE"/>
              </w:rPr>
              <w:t>, § 2, 2°, van het Btw-Wetboek.</w:t>
            </w:r>
          </w:p>
          <w:p w:rsidR="00EF1FFF" w:rsidRPr="00EF1FFF" w:rsidRDefault="00EF1FFF" w:rsidP="00EF1FFF">
            <w:pPr>
              <w:spacing w:before="100" w:beforeAutospacing="1" w:after="100" w:afterAutospacing="1" w:line="264" w:lineRule="auto"/>
              <w:outlineLvl w:val="0"/>
              <w:rPr>
                <w:rFonts w:ascii="Verdana" w:eastAsia="Times New Roman" w:hAnsi="Verdana" w:cs="Times New Roman"/>
                <w:b/>
                <w:bCs/>
                <w:color w:val="333333"/>
                <w:kern w:val="36"/>
                <w:sz w:val="33"/>
                <w:szCs w:val="33"/>
                <w:lang w:eastAsia="nl-BE"/>
              </w:rPr>
            </w:pPr>
            <w:r w:rsidRPr="00EF1FFF">
              <w:rPr>
                <w:rFonts w:ascii="Verdana" w:eastAsia="Times New Roman" w:hAnsi="Verdana" w:cs="Times New Roman"/>
                <w:b/>
                <w:bCs/>
                <w:color w:val="333333"/>
                <w:kern w:val="36"/>
                <w:sz w:val="33"/>
                <w:szCs w:val="33"/>
                <w:lang w:eastAsia="nl-BE"/>
              </w:rPr>
              <w:t>2. VRIJSTELLING VOOR MAATSCHAPPELIJK WERK, SOCIALE ZEKERHEID EN BESCHERMING VAN KINDEREN EN JONGEREN</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 xml:space="preserve">In dit kader moet worden onderzocht of de vrijstelling van artikel 44, § 2, 2°, van het Btw-Wetboek kan worden toegepast op de werkzaamheden van lokale dienstencentra. Volgens deze bepaling zijn van de belasting vrijgesteld: 'de diensten en leveringen van goederen die nauw samenhangen met maatschappelijk werk, met sociale zekerheid en met de bescherming van kinderen en jongeren en die </w:t>
            </w:r>
            <w:r w:rsidRPr="00EF1FFF">
              <w:rPr>
                <w:rFonts w:ascii="Verdana" w:eastAsia="Times New Roman" w:hAnsi="Verdana" w:cs="Times New Roman"/>
                <w:color w:val="333333"/>
                <w:sz w:val="18"/>
                <w:szCs w:val="18"/>
                <w:lang w:eastAsia="nl-BE"/>
              </w:rPr>
              <w:lastRenderedPageBreak/>
              <w:t>worden verricht door publiekrechtelijke lichamen of door andere organisaties die door de bevoegde overheid als instellingen van sociale aard erkend worden'.</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Met organisaties erkend door de bevoegde overheid worden beoogd:</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          hetzij de instellingen die een formele erkenning genieten, in de gevallen waarin in een formele erkenning door de bevoegde federale, regionale of gewestelijke overheid wordt voorzien;</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 xml:space="preserve">–          hetzij de instellingen waarvan de diensten en nauw daarmee samenhangende leveringen van goederen worden verricht in overeenstemming met de voor die instellingen geldende reglementering (z. gepubliceerde </w:t>
            </w:r>
            <w:hyperlink r:id="rId5" w:history="1">
              <w:r w:rsidRPr="00EF1FFF">
                <w:rPr>
                  <w:rFonts w:ascii="Verdana" w:eastAsia="Times New Roman" w:hAnsi="Verdana" w:cs="Times New Roman"/>
                  <w:color w:val="0000FF"/>
                  <w:sz w:val="18"/>
                  <w:szCs w:val="18"/>
                  <w:u w:val="single"/>
                  <w:lang w:eastAsia="nl-BE"/>
                </w:rPr>
                <w:t>beslissing nr. E.T.94.156 van 25.07.2005</w:t>
              </w:r>
            </w:hyperlink>
            <w:r w:rsidRPr="00EF1FFF">
              <w:rPr>
                <w:rFonts w:ascii="Verdana" w:eastAsia="Times New Roman" w:hAnsi="Verdana" w:cs="Times New Roman"/>
                <w:color w:val="333333"/>
                <w:sz w:val="18"/>
                <w:szCs w:val="18"/>
                <w:lang w:eastAsia="nl-BE"/>
              </w:rPr>
              <w:t>).</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Een dergelijke erkenning kan bijvoorbeeld blijken uit een beslissing van de gemeentelijke overheid of van de OCMW-raad van een gemeente, het feit dat een subsidie wordt toegekend, …</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Rekening houdend met het feit dat lokale dienstencentra er onder meer op gericht zijn de sociale samenhang binnen een stad of een gemeente te bevorderen, gaat de Administratie er gelet op dit uitermate sociaal doel van uit dat de door deze lokale dienstencentra in dit kader verrichte handelingen in beginsel van de belasting over de toegevoegde waarde zijn vrijgesteld op grond van de bepalingen van artikel 44, § 2, 2°, van het Btw-Wetboek, voor zover voldaan is aan de voorwaarde inzake erkenning.</w:t>
            </w:r>
          </w:p>
          <w:p w:rsidR="00EF1FFF" w:rsidRPr="00EF1FFF" w:rsidRDefault="00EF1FFF" w:rsidP="00EF1FFF">
            <w:pPr>
              <w:spacing w:before="100" w:beforeAutospacing="1" w:after="100" w:afterAutospacing="1" w:line="264" w:lineRule="auto"/>
              <w:outlineLvl w:val="0"/>
              <w:rPr>
                <w:rFonts w:ascii="Verdana" w:eastAsia="Times New Roman" w:hAnsi="Verdana" w:cs="Times New Roman"/>
                <w:b/>
                <w:bCs/>
                <w:color w:val="333333"/>
                <w:kern w:val="36"/>
                <w:sz w:val="33"/>
                <w:szCs w:val="33"/>
                <w:lang w:eastAsia="nl-BE"/>
              </w:rPr>
            </w:pPr>
            <w:r w:rsidRPr="00EF1FFF">
              <w:rPr>
                <w:rFonts w:ascii="Verdana" w:eastAsia="Times New Roman" w:hAnsi="Verdana" w:cs="Times New Roman"/>
                <w:b/>
                <w:bCs/>
                <w:color w:val="333333"/>
                <w:kern w:val="36"/>
                <w:sz w:val="33"/>
                <w:szCs w:val="33"/>
                <w:lang w:eastAsia="nl-BE"/>
              </w:rPr>
              <w:t>3. EXPLOITATIE VAN EEN DRANK- OF EETGELEGENHEID DIE VOOR IEDEREEN TOEGANKELIJK IS DOOR EEN LOKAAL DIENSTENCENTRUM</w:t>
            </w:r>
          </w:p>
          <w:p w:rsidR="00EF1FFF" w:rsidRPr="00EF1FFF" w:rsidRDefault="00EF1FFF" w:rsidP="00EF1FFF">
            <w:pPr>
              <w:spacing w:before="495" w:after="100" w:afterAutospacing="1" w:line="264" w:lineRule="auto"/>
              <w:outlineLvl w:val="1"/>
              <w:rPr>
                <w:rFonts w:ascii="Verdana" w:eastAsia="Times New Roman" w:hAnsi="Verdana" w:cs="Times New Roman"/>
                <w:b/>
                <w:bCs/>
                <w:color w:val="333333"/>
                <w:sz w:val="30"/>
                <w:szCs w:val="30"/>
                <w:lang w:eastAsia="nl-BE"/>
              </w:rPr>
            </w:pPr>
            <w:r w:rsidRPr="00EF1FFF">
              <w:rPr>
                <w:rFonts w:ascii="Verdana" w:eastAsia="Times New Roman" w:hAnsi="Verdana" w:cs="Times New Roman"/>
                <w:b/>
                <w:bCs/>
                <w:color w:val="333333"/>
                <w:sz w:val="30"/>
                <w:szCs w:val="30"/>
                <w:lang w:eastAsia="nl-BE"/>
              </w:rPr>
              <w:t>3.1. Principe: geen vrijstelling</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Uit de praktijk is gebleken dat bepaalde lokale dienstencentra onder bezwarende titel, met of zonder winstoogmerk, een drank- of eetgelegenheid exploiteren die voor iedereen toegankelijk is.</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Een dergelijke exploitatie is intrinsiek vreemd aan voornoemde sociale doelstelling zodat de vrijstelling van artikel 44, § 2, 2°, van het Btw-Wetboek niet kan worden toegepast op de omzet die hierdoor wordt gerealiseerd, ongeacht of er hierbij al dan niet sprake is van concurrentieverstoring.</w:t>
            </w:r>
          </w:p>
          <w:p w:rsidR="00EF1FFF" w:rsidRPr="00EF1FFF" w:rsidRDefault="00EF1FFF" w:rsidP="00EF1FFF">
            <w:pPr>
              <w:spacing w:before="495" w:after="100" w:afterAutospacing="1" w:line="264" w:lineRule="auto"/>
              <w:outlineLvl w:val="1"/>
              <w:rPr>
                <w:rFonts w:ascii="Verdana" w:eastAsia="Times New Roman" w:hAnsi="Verdana" w:cs="Times New Roman"/>
                <w:b/>
                <w:bCs/>
                <w:color w:val="333333"/>
                <w:sz w:val="30"/>
                <w:szCs w:val="30"/>
                <w:lang w:eastAsia="nl-BE"/>
              </w:rPr>
            </w:pPr>
            <w:r w:rsidRPr="00EF1FFF">
              <w:rPr>
                <w:rFonts w:ascii="Verdana" w:eastAsia="Times New Roman" w:hAnsi="Verdana" w:cs="Times New Roman"/>
                <w:b/>
                <w:bCs/>
                <w:color w:val="333333"/>
                <w:sz w:val="30"/>
                <w:szCs w:val="30"/>
                <w:lang w:eastAsia="nl-BE"/>
              </w:rPr>
              <w:t>3.2. Administratieve tolerantie voor lokale dienstencentra</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 xml:space="preserve">De administratie gaat er bij wijze van tolerantie evenwel van uit dat de exploitatie van een dergelijke drank- of eetgelegenheid door een lokaal dienstencentrum deze sociale doelstelling niet schendt en </w:t>
            </w:r>
            <w:r w:rsidRPr="00EF1FFF">
              <w:rPr>
                <w:rFonts w:ascii="Verdana" w:eastAsia="Times New Roman" w:hAnsi="Verdana" w:cs="Times New Roman"/>
                <w:color w:val="333333"/>
                <w:sz w:val="18"/>
                <w:szCs w:val="18"/>
                <w:lang w:eastAsia="nl-BE"/>
              </w:rPr>
              <w:lastRenderedPageBreak/>
              <w:t>aldus geen belemmering vormt voor de toepassing van de vrijstelling van voornoemd artikel 44, § 2, 2°, van het Btw-Wetboek wanneer de door het lokaal dienstencentrum gerealiseerde jaarlijkse omzet in het kader van de exploitatie van een dergelijke drank- of eetgelegenheid niet meer bedraagt dan 80.000 euro.</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Deze drempel wordt beoordeeld per vestigingseenheid.</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Indien dit drempelbedrag in de loop van een kalenderjaar wordt overschreden, zal het betrokken lokaal dienstencentrum gehouden zijn de door hem verrichte handelingen in het kader van de exploitatie van een drank- of eetgelegenheid aan de belasting te onderwerpen met ingang van 1 januari van het daaropvolgende jaar en dit voor zover betreffende overschrijding niet als toevallig kan worden aangemerkt.</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De eerste keer dat moet worden nagegaan of het drempelbedrag van 80.000 euro is overschreden, heeft betrekking op de omzet gerealiseerd in het kalenderjaar 2016.</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Volledigheidshalve wordt opgemerkt dat elke administratieve commentaar (circulaires, beslissingen, antwoorden op parlementaire vragen, …) die strijdig is met de in deze beslissing opgenomen bepalingen wordt opgeheven.</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 </w:t>
            </w:r>
          </w:p>
          <w:p w:rsidR="00EF1FFF" w:rsidRPr="00EF1FFF" w:rsidRDefault="00EF1FFF" w:rsidP="00EF1FFF">
            <w:pPr>
              <w:spacing w:before="100" w:beforeAutospacing="1" w:after="100" w:afterAutospacing="1"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Jozef MARCKX</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r w:rsidRPr="00EF1FFF">
              <w:rPr>
                <w:rFonts w:ascii="Verdana" w:eastAsia="Times New Roman" w:hAnsi="Verdana" w:cs="Times New Roman"/>
                <w:color w:val="333333"/>
                <w:sz w:val="18"/>
                <w:szCs w:val="18"/>
                <w:lang w:eastAsia="nl-BE"/>
              </w:rPr>
              <w:t>Adviseur-generaal</w:t>
            </w:r>
          </w:p>
          <w:p w:rsidR="00EF1FFF" w:rsidRPr="00EF1FFF" w:rsidRDefault="00EF1FFF" w:rsidP="00EF1FFF">
            <w:pPr>
              <w:spacing w:before="100" w:beforeAutospacing="1" w:after="120" w:line="300" w:lineRule="auto"/>
              <w:rPr>
                <w:rFonts w:ascii="Verdana" w:eastAsia="Times New Roman" w:hAnsi="Verdana" w:cs="Times New Roman"/>
                <w:color w:val="333333"/>
                <w:sz w:val="18"/>
                <w:szCs w:val="18"/>
                <w:lang w:eastAsia="nl-BE"/>
              </w:rPr>
            </w:pPr>
            <w:bookmarkStart w:id="0" w:name="_GoBack"/>
            <w:bookmarkEnd w:id="0"/>
          </w:p>
        </w:tc>
      </w:tr>
    </w:tbl>
    <w:p w:rsidR="00EF1FFF" w:rsidRPr="00EF1FFF" w:rsidRDefault="00EF1FFF" w:rsidP="00EF1FFF">
      <w:pPr>
        <w:rPr>
          <w:rFonts w:ascii="Verdana" w:eastAsia="Times New Roman" w:hAnsi="Verdana" w:cs="Times New Roman"/>
          <w:color w:val="000000"/>
          <w:sz w:val="18"/>
          <w:szCs w:val="18"/>
          <w:lang w:eastAsia="nl-BE"/>
        </w:rPr>
      </w:pPr>
      <w:r w:rsidRPr="00EF1FFF">
        <w:rPr>
          <w:rFonts w:ascii="Verdana" w:eastAsia="Times New Roman" w:hAnsi="Verdana" w:cs="Times New Roman"/>
          <w:color w:val="000000"/>
          <w:sz w:val="18"/>
          <w:szCs w:val="18"/>
          <w:lang w:eastAsia="nl-BE"/>
        </w:rPr>
        <w:lastRenderedPageBreak/>
        <w:pict>
          <v:rect id="_x0000_i1027"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EF1FFF" w:rsidRPr="00EF1FFF" w:rsidTr="00EF1FFF">
        <w:trPr>
          <w:tblCellSpacing w:w="15" w:type="dxa"/>
        </w:trPr>
        <w:tc>
          <w:tcPr>
            <w:tcW w:w="0" w:type="auto"/>
            <w:hideMark/>
          </w:tcPr>
          <w:p w:rsidR="00EF1FFF" w:rsidRPr="00EF1FFF" w:rsidRDefault="00EF1FFF" w:rsidP="00EF1FFF">
            <w:pPr>
              <w:rPr>
                <w:rFonts w:ascii="Verdana" w:eastAsia="Times New Roman" w:hAnsi="Verdana" w:cs="Times New Roman"/>
                <w:color w:val="000000"/>
                <w:sz w:val="18"/>
                <w:szCs w:val="18"/>
                <w:lang w:eastAsia="nl-BE"/>
              </w:rPr>
            </w:pPr>
          </w:p>
        </w:tc>
      </w:tr>
    </w:tbl>
    <w:p w:rsidR="007D1652" w:rsidRDefault="007D1652"/>
    <w:sectPr w:rsidR="007D1652"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F"/>
    <w:rsid w:val="005C0AE3"/>
    <w:rsid w:val="007D1652"/>
    <w:rsid w:val="009908EB"/>
    <w:rsid w:val="00D2275E"/>
    <w:rsid w:val="00D81E63"/>
    <w:rsid w:val="00E27A63"/>
    <w:rsid w:val="00EF1FFF"/>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C4EF"/>
  <w15:chartTrackingRefBased/>
  <w15:docId w15:val="{C0E08E5D-13CA-4C98-93DD-FB800C1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EF1FFF"/>
    <w:pPr>
      <w:spacing w:before="100" w:beforeAutospacing="1" w:after="100" w:afterAutospacing="1" w:line="264" w:lineRule="auto"/>
      <w:outlineLvl w:val="0"/>
    </w:pPr>
    <w:rPr>
      <w:rFonts w:ascii="Verdana" w:eastAsia="Times New Roman" w:hAnsi="Verdana" w:cs="Times New Roman"/>
      <w:b/>
      <w:bCs/>
      <w:kern w:val="36"/>
      <w:sz w:val="33"/>
      <w:szCs w:val="33"/>
      <w:lang w:eastAsia="nl-BE"/>
    </w:rPr>
  </w:style>
  <w:style w:type="paragraph" w:styleId="Kop2">
    <w:name w:val="heading 2"/>
    <w:basedOn w:val="Standaard"/>
    <w:link w:val="Kop2Char"/>
    <w:uiPriority w:val="9"/>
    <w:qFormat/>
    <w:rsid w:val="00EF1FFF"/>
    <w:pPr>
      <w:spacing w:before="495" w:after="100" w:afterAutospacing="1" w:line="264" w:lineRule="auto"/>
      <w:outlineLvl w:val="1"/>
    </w:pPr>
    <w:rPr>
      <w:rFonts w:ascii="Verdana" w:eastAsia="Times New Roman" w:hAnsi="Verdana" w:cs="Times New Roman"/>
      <w:b/>
      <w:bCs/>
      <w:sz w:val="30"/>
      <w:szCs w:val="3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FFF"/>
    <w:rPr>
      <w:rFonts w:ascii="Verdana" w:eastAsia="Times New Roman" w:hAnsi="Verdana" w:cs="Times New Roman"/>
      <w:b/>
      <w:bCs/>
      <w:kern w:val="36"/>
      <w:sz w:val="33"/>
      <w:szCs w:val="33"/>
      <w:lang w:eastAsia="nl-BE"/>
    </w:rPr>
  </w:style>
  <w:style w:type="character" w:customStyle="1" w:styleId="Kop2Char">
    <w:name w:val="Kop 2 Char"/>
    <w:basedOn w:val="Standaardalinea-lettertype"/>
    <w:link w:val="Kop2"/>
    <w:uiPriority w:val="9"/>
    <w:rsid w:val="00EF1FFF"/>
    <w:rPr>
      <w:rFonts w:ascii="Verdana" w:eastAsia="Times New Roman" w:hAnsi="Verdana" w:cs="Times New Roman"/>
      <w:b/>
      <w:bCs/>
      <w:sz w:val="30"/>
      <w:szCs w:val="30"/>
      <w:lang w:eastAsia="nl-BE"/>
    </w:rPr>
  </w:style>
  <w:style w:type="character" w:styleId="Hyperlink">
    <w:name w:val="Hyperlink"/>
    <w:basedOn w:val="Standaardalinea-lettertype"/>
    <w:uiPriority w:val="99"/>
    <w:semiHidden/>
    <w:unhideWhenUsed/>
    <w:rsid w:val="00EF1FFF"/>
    <w:rPr>
      <w:rFonts w:ascii="Verdana" w:hAnsi="Verdana" w:hint="default"/>
      <w:color w:val="0000FF"/>
      <w:sz w:val="18"/>
      <w:szCs w:val="18"/>
      <w:u w:val="single"/>
    </w:rPr>
  </w:style>
  <w:style w:type="character" w:styleId="Nadruk">
    <w:name w:val="Emphasis"/>
    <w:basedOn w:val="Standaardalinea-lettertype"/>
    <w:uiPriority w:val="20"/>
    <w:qFormat/>
    <w:rsid w:val="00EF1FFF"/>
    <w:rPr>
      <w:i/>
      <w:iCs/>
    </w:rPr>
  </w:style>
  <w:style w:type="character" w:styleId="Zwaar">
    <w:name w:val="Strong"/>
    <w:basedOn w:val="Standaardalinea-lettertype"/>
    <w:uiPriority w:val="22"/>
    <w:qFormat/>
    <w:rsid w:val="00EF1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949696">
      <w:bodyDiv w:val="1"/>
      <w:marLeft w:val="0"/>
      <w:marRight w:val="0"/>
      <w:marTop w:val="0"/>
      <w:marBottom w:val="0"/>
      <w:divBdr>
        <w:top w:val="none" w:sz="0" w:space="0" w:color="auto"/>
        <w:left w:val="none" w:sz="0" w:space="0" w:color="auto"/>
        <w:bottom w:val="none" w:sz="0" w:space="0" w:color="auto"/>
        <w:right w:val="none" w:sz="0" w:space="0" w:color="auto"/>
      </w:divBdr>
      <w:divsChild>
        <w:div w:id="62143756">
          <w:marLeft w:val="0"/>
          <w:marRight w:val="0"/>
          <w:marTop w:val="0"/>
          <w:marBottom w:val="0"/>
          <w:divBdr>
            <w:top w:val="none" w:sz="0" w:space="0" w:color="auto"/>
            <w:left w:val="none" w:sz="0" w:space="0" w:color="auto"/>
            <w:bottom w:val="none" w:sz="0" w:space="0" w:color="auto"/>
            <w:right w:val="none" w:sz="0" w:space="0" w:color="auto"/>
          </w:divBdr>
        </w:div>
        <w:div w:id="417599800">
          <w:marLeft w:val="15"/>
          <w:marRight w:val="20"/>
          <w:marTop w:val="0"/>
          <w:marBottom w:val="0"/>
          <w:divBdr>
            <w:top w:val="none" w:sz="0" w:space="0" w:color="auto"/>
            <w:left w:val="none" w:sz="0" w:space="0" w:color="auto"/>
            <w:bottom w:val="none" w:sz="0" w:space="0" w:color="auto"/>
            <w:right w:val="none" w:sz="0" w:space="0" w:color="auto"/>
          </w:divBdr>
          <w:divsChild>
            <w:div w:id="2908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20void(openDocument('eacb279c-1f18-41f8-8221-e27814f90647'));" TargetMode="External"/><Relationship Id="rId4" Type="http://schemas.openxmlformats.org/officeDocument/2006/relationships/hyperlink" Target="javascript:%20void(openDocument('764d1c99-fe14-4835-a22d-53ae3f22c31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2018-02-04T16:54:00Z</dcterms:created>
  <dcterms:modified xsi:type="dcterms:W3CDTF">2018-02-04T16:56:00Z</dcterms:modified>
</cp:coreProperties>
</file>